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center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0" w:name="__DdeLink__50_4228898502"/>
      <w:r>
        <w:rPr>
          <w:rFonts w:eastAsia="Times New Roman" w:cs="Arial" w:ascii="PT Astra Serif" w:hAnsi="PT Astra Serif"/>
          <w:sz w:val="28"/>
          <w:szCs w:val="28"/>
          <w:lang w:eastAsia="ru-RU"/>
        </w:rPr>
        <w:t>Оповещение о начале общественных обсуждений</w:t>
      </w:r>
      <w:bookmarkEnd w:id="0"/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</w:r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 xml:space="preserve">В соответствии с постановлением Председателя Думы Тюменского муниципального района от «22» июня 2020 № 56 «О назначении </w:t>
      </w:r>
      <w:r>
        <w:rPr>
          <w:rStyle w:val="Style14"/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общественных обсуждений по проекту о внесении изменений в правила землепользования и застройки муниципального образования п. Боровский Тюменского муниципального района» по проекту о внесении изменений в правила землепользования и застройки муниципального образования п. Боровский Тюменского муниципального района, </w:t>
      </w: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общественные обсуждения проводятся с «23» июня 2020 по «24» июля 2020 на официальном сайте Администрации Тюменского муниципального района (www.atmr.ru) в информационно-телекоммуникационной сети «Интернет», в разделе «Градостроительная деятельность и имущественные отношения», подразделе «Градостроительство», вкладке «Публичные слушания и общественные обсуждения».</w:t>
      </w:r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  <w:t>Экспозиция проекта проходит в здании Администрации Тюменского муниципального района по адресу: г. Тюмень, ул. Московский тракт, д. 115,</w:t>
        <w:br/>
        <w:t>4 этаж, с «23» июня 2020 по «24» июля 2020.</w:t>
      </w:r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  <w:t>Консультации по экспозиции проекта проводятся: понедельник-пятница с 8.00 до 12.00, с 13.00 до 16.00; суббота, воскресенье – выходные дни.</w:t>
      </w:r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Предложения и замечания, касающиеся проекта, можно подавать посредством официального сайта Администрации Тюменского муниципального района, в письменной форме в адрес Организатора с</w:t>
        <w:br/>
        <w:t>«23» июня 2020 по «24» июля 2020</w:t>
      </w:r>
      <w:r>
        <w:rPr>
          <w:rStyle w:val="Style14"/>
          <w:rFonts w:cs="Arial" w:ascii="PT Astra Serif" w:hAnsi="PT Astra Serif"/>
          <w:sz w:val="28"/>
          <w:szCs w:val="28"/>
        </w:rPr>
        <w:t xml:space="preserve"> </w:t>
      </w: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в рабочие дни с 8.00 до 12.00, с 13.00 до 16.00 в здании Администрации Тюменского муниципального района по адресу: г. Тюмень, ул. Московский тракт, д. 115, каб. 417; а также посредством записи в журнале учета посетителей экспозиции проекта, подлежащего рассмотрению на общественных обсуждениях.</w:t>
      </w:r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Тюменского муниципального района (www.atmr.ru) в информационно-телекоммуникационной сети «Интернет», в разделе «Градостроительная деятельность и имущественные отношения», подразделе «Градостроительство», вкладке «Публичные слушания и общественные обсуждения».</w:t>
      </w:r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sz w:val="28"/>
          <w:szCs w:val="28"/>
          <w:lang w:eastAsia="ru-RU"/>
        </w:rPr>
        <w:t>Участники общественных обсуждений обязаны указывать следующие сведения:</w:t>
      </w:r>
    </w:p>
    <w:p>
      <w:pPr>
        <w:pStyle w:val="Style16"/>
        <w:widowControl w:val="false"/>
        <w:tabs>
          <w:tab w:val="clear" w:pos="708"/>
          <w:tab w:val="left" w:pos="1276" w:leader="none"/>
        </w:tabs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4"/>
          <w:rFonts w:eastAsia="Times New Roman" w:cs="Arial" w:ascii="PT Astra Serif" w:hAnsi="PT Astra Serif"/>
          <w:sz w:val="28"/>
          <w:szCs w:val="28"/>
          <w:lang w:eastAsia="ru-RU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paragraph" w:styleId="Style16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17">
    <w:name w:val="Обычный (веб)"/>
    <w:basedOn w:val="Style16"/>
    <w:qFormat/>
    <w:pPr>
      <w:suppressAutoHyphens w:val="true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 LibreOffice_project/86daf60bf00efa86ad547e59e09d6bb77c699acb</Application>
  <Pages>1</Pages>
  <Words>309</Words>
  <CharactersWithSpaces>2595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2020-06-23T04:54:00Z</dcterms:created>
  <dc:creator>Лупенкова Мария Владимировна</dc:creator>
  <dc:description/>
  <dc:language>ru-RU</dc:language>
  <cp:lastModifiedBy/>
  <cp:lastPrinted>2019-04-08T08:30:00Z</cp:lastPrinted>
  <dcterms:modified xsi:type="dcterms:W3CDTF">2020-06-23T09:54:52Z</dcterms:modified>
  <cp:revision>3</cp:revision>
  <dc:subject/>
  <dc:title/>
</cp:coreProperties>
</file>